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思源宋体 CN ExtraLight" w:hAnsi="思源宋体 CN ExtraLight" w:eastAsia="思源宋体 CN ExtraLight"/>
          <w:szCs w:val="24"/>
          <w:lang w:val="en-US" w:eastAsia="zh-CN"/>
        </w:rPr>
      </w:pPr>
      <w:r>
        <w:rPr>
          <w:rFonts w:hint="eastAsia" w:ascii="思源宋体 CN ExtraLight" w:hAnsi="思源宋体 CN ExtraLight" w:eastAsia="思源宋体 CN ExtraLight"/>
          <w:szCs w:val="24"/>
          <w:lang w:val="en-US" w:eastAsia="zh-CN"/>
        </w:rPr>
        <w:t xml:space="preserve">   </w:t>
      </w:r>
    </w:p>
    <w:p>
      <w:pPr>
        <w:jc w:val="left"/>
        <w:rPr>
          <w:rFonts w:ascii="思源宋体 CN ExtraLight" w:hAnsi="思源宋体 CN ExtraLight" w:eastAsia="思源宋体 CN ExtraLight"/>
          <w:szCs w:val="24"/>
        </w:rPr>
      </w:pPr>
    </w:p>
    <w:p>
      <w:pPr>
        <w:jc w:val="left"/>
        <w:rPr>
          <w:rFonts w:ascii="思源宋体 CN ExtraLight" w:hAnsi="思源宋体 CN ExtraLight" w:eastAsia="思源宋体 CN ExtraLight"/>
          <w:b/>
          <w:spacing w:val="-70"/>
          <w:sz w:val="72"/>
          <w:szCs w:val="72"/>
        </w:rPr>
      </w:pPr>
    </w:p>
    <w:p>
      <w:pPr>
        <w:pStyle w:val="2"/>
        <w:ind w:firstLine="0" w:firstLineChars="0"/>
        <w:jc w:val="center"/>
        <w:rPr>
          <w:rFonts w:hint="default" w:ascii="思源黑体 CN Regular" w:hAnsi="思源黑体 CN Regular" w:eastAsia="思源黑体 CN Regular" w:cs="黑体"/>
          <w:color w:val="auto"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 w:cs="黑体"/>
          <w:color w:val="auto"/>
          <w:sz w:val="52"/>
          <w:szCs w:val="52"/>
          <w:lang w:val="en-US" w:eastAsia="zh-CN"/>
        </w:rPr>
        <w:t>丽水市阳光采购服务平台</w:t>
      </w:r>
    </w:p>
    <w:p>
      <w:pPr>
        <w:pStyle w:val="2"/>
        <w:ind w:firstLine="0" w:firstLineChars="0"/>
        <w:jc w:val="center"/>
        <w:rPr>
          <w:rFonts w:hint="eastAsia" w:ascii="思源黑体 CN Regular" w:hAnsi="思源黑体 CN Regular" w:eastAsia="思源黑体 CN Regular" w:cs="黑体"/>
          <w:sz w:val="52"/>
          <w:szCs w:val="52"/>
        </w:rPr>
      </w:pPr>
      <w:r>
        <w:rPr>
          <w:rFonts w:hint="eastAsia" w:ascii="思源黑体 CN Regular" w:hAnsi="思源黑体 CN Regular" w:eastAsia="思源黑体 CN Regular" w:cs="黑体"/>
          <w:sz w:val="52"/>
          <w:szCs w:val="52"/>
        </w:rPr>
        <w:t>投标人操作手册</w:t>
      </w:r>
    </w:p>
    <w:p>
      <w:pPr>
        <w:pStyle w:val="2"/>
        <w:ind w:firstLine="0" w:firstLineChars="0"/>
        <w:jc w:val="center"/>
        <w:rPr>
          <w:rFonts w:hint="eastAsia" w:ascii="思源黑体 CN Regular" w:hAnsi="思源黑体 CN Regular" w:eastAsia="思源黑体 CN Regular" w:cs="黑体"/>
          <w:sz w:val="52"/>
          <w:szCs w:val="52"/>
        </w:rPr>
      </w:pPr>
    </w:p>
    <w:p>
      <w:pPr>
        <w:pStyle w:val="2"/>
        <w:ind w:firstLine="0" w:firstLineChars="0"/>
        <w:jc w:val="center"/>
        <w:rPr>
          <w:rFonts w:hint="eastAsia" w:ascii="思源黑体 CN Regular" w:hAnsi="思源黑体 CN Regular" w:eastAsia="思源黑体 CN Regular" w:cs="黑体"/>
          <w:sz w:val="52"/>
          <w:szCs w:val="52"/>
        </w:rPr>
      </w:pPr>
    </w:p>
    <w:p>
      <w:pPr>
        <w:pStyle w:val="2"/>
        <w:ind w:firstLine="0" w:firstLineChars="0"/>
        <w:jc w:val="center"/>
        <w:rPr>
          <w:rFonts w:hint="eastAsia" w:ascii="思源黑体 CN Regular" w:hAnsi="思源黑体 CN Regular" w:eastAsia="思源黑体 CN Regular" w:cs="黑体"/>
          <w:sz w:val="52"/>
          <w:szCs w:val="52"/>
        </w:rPr>
      </w:pPr>
    </w:p>
    <w:p>
      <w:pPr>
        <w:pStyle w:val="2"/>
        <w:ind w:firstLine="0" w:firstLineChars="0"/>
        <w:jc w:val="center"/>
        <w:rPr>
          <w:rFonts w:hint="eastAsia" w:ascii="思源黑体 CN Regular" w:hAnsi="思源黑体 CN Regular" w:eastAsia="思源黑体 CN Regular" w:cs="黑体"/>
          <w:sz w:val="52"/>
          <w:szCs w:val="52"/>
        </w:rPr>
      </w:pPr>
    </w:p>
    <w:p>
      <w:pPr>
        <w:pStyle w:val="2"/>
        <w:ind w:firstLine="0" w:firstLineChars="0"/>
        <w:jc w:val="center"/>
        <w:rPr>
          <w:rFonts w:hint="eastAsia" w:ascii="思源黑体 CN Regular" w:hAnsi="思源黑体 CN Regular" w:eastAsia="思源黑体 CN Regular" w:cs="黑体"/>
          <w:sz w:val="52"/>
          <w:szCs w:val="52"/>
        </w:rPr>
      </w:pPr>
    </w:p>
    <w:p>
      <w:pPr>
        <w:pStyle w:val="2"/>
        <w:ind w:firstLine="0" w:firstLineChars="0"/>
        <w:jc w:val="center"/>
        <w:rPr>
          <w:rFonts w:hint="eastAsia" w:ascii="思源黑体 CN Regular" w:hAnsi="思源黑体 CN Regular" w:eastAsia="思源黑体 CN Regular" w:cs="黑体"/>
          <w:sz w:val="52"/>
          <w:szCs w:val="52"/>
        </w:rPr>
      </w:pPr>
    </w:p>
    <w:p>
      <w:pPr>
        <w:pStyle w:val="2"/>
        <w:ind w:firstLine="0" w:firstLineChars="0"/>
        <w:jc w:val="center"/>
        <w:rPr>
          <w:rFonts w:hint="eastAsia" w:ascii="思源黑体 CN Regular" w:hAnsi="思源黑体 CN Regular" w:eastAsia="思源黑体 CN Regular" w:cs="黑体"/>
          <w:sz w:val="52"/>
          <w:szCs w:val="52"/>
        </w:rPr>
      </w:pPr>
    </w:p>
    <w:p>
      <w:pPr>
        <w:pStyle w:val="2"/>
        <w:ind w:firstLine="0" w:firstLineChars="0"/>
        <w:jc w:val="center"/>
        <w:rPr>
          <w:rFonts w:hint="eastAsia" w:ascii="思源黑体 CN Regular" w:hAnsi="思源黑体 CN Regular" w:eastAsia="思源黑体 CN Regular" w:cs="黑体"/>
          <w:sz w:val="52"/>
          <w:szCs w:val="52"/>
        </w:rPr>
      </w:pPr>
    </w:p>
    <w:p>
      <w:pPr>
        <w:pStyle w:val="2"/>
        <w:ind w:firstLine="0" w:firstLineChars="0"/>
        <w:jc w:val="center"/>
        <w:rPr>
          <w:rFonts w:hint="eastAsia" w:ascii="思源黑体 CN Regular" w:hAnsi="思源黑体 CN Regular" w:eastAsia="思源黑体 CN Regular" w:cs="黑体"/>
          <w:sz w:val="52"/>
          <w:szCs w:val="52"/>
        </w:rPr>
      </w:pPr>
    </w:p>
    <w:p>
      <w:pPr>
        <w:pStyle w:val="2"/>
        <w:ind w:firstLine="0" w:firstLineChars="0"/>
        <w:jc w:val="center"/>
        <w:rPr>
          <w:rFonts w:hint="eastAsia" w:ascii="思源黑体 CN Regular" w:hAnsi="思源黑体 CN Regular" w:eastAsia="思源黑体 CN Regular" w:cs="黑体"/>
          <w:sz w:val="52"/>
          <w:szCs w:val="52"/>
        </w:rPr>
      </w:pPr>
    </w:p>
    <w:p>
      <w:pPr>
        <w:pStyle w:val="2"/>
        <w:ind w:firstLine="0" w:firstLineChars="0"/>
        <w:jc w:val="center"/>
        <w:rPr>
          <w:rFonts w:hint="eastAsia" w:ascii="思源黑体 CN Regular" w:hAnsi="思源黑体 CN Regular" w:eastAsia="思源黑体 CN Regular" w:cs="黑体"/>
          <w:sz w:val="52"/>
          <w:szCs w:val="52"/>
        </w:rPr>
      </w:pPr>
    </w:p>
    <w:p>
      <w:pPr>
        <w:pStyle w:val="2"/>
        <w:ind w:firstLine="0" w:firstLineChars="0"/>
        <w:jc w:val="center"/>
        <w:rPr>
          <w:rFonts w:hint="eastAsia" w:ascii="思源黑体 CN Regular" w:hAnsi="思源黑体 CN Regular" w:eastAsia="思源黑体 CN Regular" w:cs="黑体"/>
          <w:sz w:val="52"/>
          <w:szCs w:val="52"/>
        </w:rPr>
      </w:pPr>
    </w:p>
    <w:p>
      <w:pPr>
        <w:spacing w:line="360" w:lineRule="auto"/>
        <w:jc w:val="center"/>
        <w:rPr>
          <w:rFonts w:ascii="思源宋体 CN ExtraLight" w:hAnsi="思源宋体 CN ExtraLight" w:eastAsia="思源宋体 CN ExtraLight"/>
          <w:b/>
          <w:spacing w:val="200"/>
          <w:sz w:val="32"/>
          <w:szCs w:val="32"/>
        </w:rPr>
      </w:pPr>
      <w:r>
        <w:rPr>
          <w:rFonts w:hint="eastAsia" w:ascii="思源宋体 CN ExtraLight" w:hAnsi="思源宋体 CN ExtraLight" w:eastAsia="思源宋体 CN ExtraLight"/>
          <w:b/>
          <w:spacing w:val="200"/>
          <w:sz w:val="32"/>
          <w:szCs w:val="32"/>
        </w:rPr>
        <w:t>目录</w:t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_Toc26276 </w:instrText>
      </w:r>
      <w:r>
        <w:fldChar w:fldCharType="separate"/>
      </w:r>
      <w:r>
        <w:rPr>
          <w:rFonts w:hint="eastAsia" w:ascii="思源宋体 CN ExtraLight" w:hAnsi="思源宋体 CN ExtraLight"/>
          <w:lang w:val="en-US"/>
        </w:rPr>
        <w:t xml:space="preserve">一、 </w:t>
      </w:r>
      <w:r>
        <w:rPr>
          <w:rFonts w:ascii="思源宋体 CN ExtraLight" w:hAnsi="思源宋体 CN ExtraLight"/>
        </w:rPr>
        <w:t>系统前期准备</w:t>
      </w:r>
      <w:r>
        <w:tab/>
      </w:r>
      <w:r>
        <w:fldChar w:fldCharType="begin"/>
      </w:r>
      <w:r>
        <w:instrText xml:space="preserve"> PAGEREF _Toc26276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06"/>
        </w:tabs>
      </w:pPr>
      <w:r>
        <w:fldChar w:fldCharType="begin"/>
      </w:r>
      <w:r>
        <w:instrText xml:space="preserve"> HYPERLINK \l _Toc29366 </w:instrText>
      </w:r>
      <w:r>
        <w:fldChar w:fldCharType="separate"/>
      </w:r>
      <w:r>
        <w:rPr>
          <w:rFonts w:hint="eastAsia" w:ascii="思源宋体 CN ExtraLight" w:hAnsi="思源宋体 CN ExtraLight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1.1、 </w:t>
      </w:r>
      <w:r>
        <w:t>驱动安装说明</w:t>
      </w:r>
      <w:r>
        <w:tab/>
      </w:r>
      <w:r>
        <w:fldChar w:fldCharType="begin"/>
      </w:r>
      <w:r>
        <w:instrText xml:space="preserve"> PAGEREF _Toc29366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_Toc9809 </w:instrText>
      </w:r>
      <w:r>
        <w:fldChar w:fldCharType="separate"/>
      </w:r>
      <w:r>
        <w:rPr>
          <w:rFonts w:hint="eastAsia"/>
        </w:rPr>
        <w:t xml:space="preserve">1.1.1、 </w:t>
      </w:r>
      <w:r>
        <w:t>安装驱动程序</w:t>
      </w:r>
      <w:r>
        <w:tab/>
      </w:r>
      <w:r>
        <w:fldChar w:fldCharType="begin"/>
      </w:r>
      <w:r>
        <w:instrText xml:space="preserve"> PAGEREF _Toc9809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06"/>
        </w:tabs>
      </w:pPr>
      <w:r>
        <w:fldChar w:fldCharType="begin"/>
      </w:r>
      <w:r>
        <w:instrText xml:space="preserve"> HYPERLINK \l _Toc24825 </w:instrText>
      </w:r>
      <w:r>
        <w:fldChar w:fldCharType="separate"/>
      </w:r>
      <w:r>
        <w:rPr>
          <w:rFonts w:hint="eastAsia" w:ascii="思源宋体 CN ExtraLight" w:hAnsi="思源宋体 CN ExtraLight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1.2、 </w:t>
      </w:r>
      <w:r>
        <w:rPr>
          <w:rFonts w:ascii="思源宋体 CN ExtraLight" w:hAnsi="思源宋体 CN ExtraLight"/>
        </w:rPr>
        <w:t>浏览器配置</w:t>
      </w:r>
      <w:r>
        <w:tab/>
      </w:r>
      <w:r>
        <w:fldChar w:fldCharType="begin"/>
      </w:r>
      <w:r>
        <w:instrText xml:space="preserve"> PAGEREF _Toc24825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_Toc22985 </w:instrText>
      </w:r>
      <w:r>
        <w:fldChar w:fldCharType="separate"/>
      </w:r>
      <w:r>
        <w:rPr>
          <w:rFonts w:hint="eastAsia" w:ascii="思源宋体 CN ExtraLight" w:hAnsi="思源宋体 CN ExtraLight"/>
        </w:rPr>
        <w:t xml:space="preserve">1.2.1、 </w:t>
      </w:r>
      <w:r>
        <w:rPr>
          <w:rFonts w:ascii="思源宋体 CN ExtraLight" w:hAnsi="思源宋体 CN ExtraLight"/>
        </w:rPr>
        <w:t>Internet选项</w:t>
      </w:r>
      <w:r>
        <w:tab/>
      </w:r>
      <w:r>
        <w:fldChar w:fldCharType="begin"/>
      </w:r>
      <w:r>
        <w:instrText xml:space="preserve"> PAGEREF _Toc22985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_Toc14709 </w:instrText>
      </w:r>
      <w:r>
        <w:fldChar w:fldCharType="separate"/>
      </w:r>
      <w:r>
        <w:rPr>
          <w:rFonts w:hint="eastAsia" w:ascii="思源宋体 CN ExtraLight" w:hAnsi="思源宋体 CN ExtraLight"/>
        </w:rPr>
        <w:t xml:space="preserve">1.2.2、 </w:t>
      </w:r>
      <w:r>
        <w:rPr>
          <w:rFonts w:ascii="思源宋体 CN ExtraLight" w:hAnsi="思源宋体 CN ExtraLight"/>
        </w:rPr>
        <w:t>关闭拦截工具</w:t>
      </w:r>
      <w:r>
        <w:tab/>
      </w:r>
      <w:r>
        <w:fldChar w:fldCharType="begin"/>
      </w:r>
      <w:r>
        <w:instrText xml:space="preserve"> PAGEREF _Toc14709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_Toc11977 </w:instrText>
      </w:r>
      <w:r>
        <w:fldChar w:fldCharType="separate"/>
      </w:r>
      <w:r>
        <w:rPr>
          <w:rFonts w:hint="eastAsia"/>
          <w:lang w:val="en-US"/>
        </w:rPr>
        <w:t xml:space="preserve">二、 </w:t>
      </w:r>
      <w:r>
        <w:t>投标人网上交易平台</w:t>
      </w:r>
      <w:r>
        <w:tab/>
      </w:r>
      <w:r>
        <w:fldChar w:fldCharType="begin"/>
      </w:r>
      <w:r>
        <w:instrText xml:space="preserve"> PAGEREF _Toc11977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_Toc31154 </w:instrText>
      </w:r>
      <w:r>
        <w:fldChar w:fldCharType="separate"/>
      </w:r>
      <w:r>
        <w:rPr>
          <w:rFonts w:hint="eastAsia"/>
          <w:lang w:val="en-US"/>
        </w:rPr>
        <w:t xml:space="preserve">三、 </w:t>
      </w:r>
      <w:r>
        <w:t>投标人管理</w:t>
      </w:r>
      <w:r>
        <w:tab/>
      </w:r>
      <w:r>
        <w:fldChar w:fldCharType="begin"/>
      </w:r>
      <w:r>
        <w:instrText xml:space="preserve"> PAGEREF _Toc31154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06"/>
        </w:tabs>
      </w:pPr>
      <w:r>
        <w:fldChar w:fldCharType="begin"/>
      </w:r>
      <w:r>
        <w:instrText xml:space="preserve"> HYPERLINK \l _Toc8315 </w:instrText>
      </w:r>
      <w:r>
        <w:fldChar w:fldCharType="separate"/>
      </w:r>
      <w:r>
        <w:rPr>
          <w:rFonts w:hint="eastAsia" w:ascii="思源宋体 CN ExtraLight" w:hAnsi="思源宋体 CN ExtraLight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3.1、 </w:t>
      </w:r>
      <w:r>
        <w:t>投标人注册</w:t>
      </w:r>
      <w:r>
        <w:tab/>
      </w:r>
      <w:r>
        <w:fldChar w:fldCharType="begin"/>
      </w:r>
      <w:r>
        <w:instrText xml:space="preserve"> PAGEREF _Toc8315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06"/>
        </w:tabs>
      </w:pPr>
      <w:r>
        <w:fldChar w:fldCharType="begin"/>
      </w:r>
      <w:r>
        <w:instrText xml:space="preserve"> HYPERLINK \l _Toc15621 </w:instrText>
      </w:r>
      <w:r>
        <w:fldChar w:fldCharType="separate"/>
      </w:r>
      <w:r>
        <w:rPr>
          <w:rFonts w:hint="eastAsia" w:ascii="思源宋体 CN ExtraLight" w:hAnsi="思源宋体 CN ExtraLight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3.2、 </w:t>
      </w:r>
      <w:r>
        <w:t>诚信库管理</w:t>
      </w:r>
      <w:r>
        <w:tab/>
      </w:r>
      <w:r>
        <w:fldChar w:fldCharType="begin"/>
      </w:r>
      <w:r>
        <w:instrText xml:space="preserve"> PAGEREF _Toc15621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_Toc32357 </w:instrText>
      </w:r>
      <w:r>
        <w:fldChar w:fldCharType="separate"/>
      </w:r>
      <w:r>
        <w:rPr>
          <w:rFonts w:hint="eastAsia"/>
          <w:lang w:val="en-US"/>
        </w:rPr>
        <w:t xml:space="preserve">四、 </w:t>
      </w:r>
      <w:r>
        <w:t>业务管理</w:t>
      </w:r>
      <w:r>
        <w:tab/>
      </w:r>
      <w:r>
        <w:fldChar w:fldCharType="begin"/>
      </w:r>
      <w:r>
        <w:instrText xml:space="preserve"> PAGEREF _Toc32357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06"/>
        </w:tabs>
      </w:pPr>
      <w:r>
        <w:fldChar w:fldCharType="begin"/>
      </w:r>
      <w:r>
        <w:instrText xml:space="preserve"> HYPERLINK \l _Toc22592 </w:instrText>
      </w:r>
      <w:r>
        <w:fldChar w:fldCharType="separate"/>
      </w:r>
      <w:r>
        <w:rPr>
          <w:rFonts w:hint="eastAsia" w:ascii="思源宋体 CN ExtraLight" w:hAnsi="思源宋体 CN ExtraLight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4.1、 </w:t>
      </w:r>
      <w:r>
        <w:rPr>
          <w:rFonts w:hint="eastAsia"/>
          <w:lang w:val="en-US" w:eastAsia="zh-CN"/>
        </w:rPr>
        <w:t>交易</w:t>
      </w:r>
      <w:r>
        <w:rPr>
          <w:rFonts w:hint="eastAsia"/>
        </w:rPr>
        <w:t>公告</w:t>
      </w:r>
      <w:r>
        <w:tab/>
      </w:r>
      <w:r>
        <w:fldChar w:fldCharType="begin"/>
      </w:r>
      <w:r>
        <w:instrText xml:space="preserve"> PAGEREF _Toc22592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_Toc2027 </w:instrText>
      </w:r>
      <w:r>
        <w:fldChar w:fldCharType="separate"/>
      </w:r>
      <w:r>
        <w:rPr>
          <w:rFonts w:hint="eastAsia"/>
        </w:rPr>
        <w:t>4.1.1、 查看公告详情</w:t>
      </w:r>
      <w:r>
        <w:tab/>
      </w:r>
      <w:r>
        <w:fldChar w:fldCharType="begin"/>
      </w:r>
      <w:r>
        <w:instrText xml:space="preserve"> PAGEREF _Toc2027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_Toc15271 </w:instrText>
      </w:r>
      <w:r>
        <w:fldChar w:fldCharType="separate"/>
      </w:r>
      <w:r>
        <w:rPr>
          <w:rFonts w:hint="eastAsia"/>
        </w:rPr>
        <w:t xml:space="preserve">4.1.2、 </w:t>
      </w:r>
      <w:r>
        <w:rPr>
          <w:rFonts w:hint="eastAsia"/>
          <w:lang w:val="en-US" w:eastAsia="zh-CN"/>
        </w:rPr>
        <w:t>交易</w:t>
      </w:r>
      <w:r>
        <w:rPr>
          <w:rFonts w:hint="eastAsia"/>
        </w:rPr>
        <w:t>文件下载</w:t>
      </w:r>
      <w:r>
        <w:tab/>
      </w:r>
      <w:r>
        <w:fldChar w:fldCharType="begin"/>
      </w:r>
      <w:r>
        <w:instrText xml:space="preserve"> PAGEREF _Toc15271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06"/>
        </w:tabs>
      </w:pPr>
      <w:r>
        <w:fldChar w:fldCharType="begin"/>
      </w:r>
      <w:r>
        <w:instrText xml:space="preserve"> HYPERLINK \l _Toc10477 </w:instrText>
      </w:r>
      <w:r>
        <w:fldChar w:fldCharType="separate"/>
      </w:r>
      <w:r>
        <w:rPr>
          <w:rFonts w:hint="eastAsia" w:ascii="思源宋体 CN ExtraLight" w:hAnsi="思源宋体 CN ExtraLight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4.2、 </w:t>
      </w:r>
      <w:r>
        <w:rPr>
          <w:rFonts w:hint="eastAsia"/>
        </w:rPr>
        <w:t>我的项目</w:t>
      </w:r>
      <w:r>
        <w:tab/>
      </w:r>
      <w:r>
        <w:fldChar w:fldCharType="begin"/>
      </w:r>
      <w:r>
        <w:instrText xml:space="preserve"> PAGEREF _Toc10477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_Toc5529 </w:instrText>
      </w:r>
      <w:r>
        <w:fldChar w:fldCharType="separate"/>
      </w:r>
      <w:r>
        <w:rPr>
          <w:rFonts w:hint="eastAsia"/>
        </w:rPr>
        <w:t xml:space="preserve">4.2.1、 </w:t>
      </w:r>
      <w:r>
        <w:rPr>
          <w:rFonts w:hint="eastAsia"/>
          <w:lang w:val="en-US" w:eastAsia="zh-CN"/>
        </w:rPr>
        <w:t>交易</w:t>
      </w:r>
      <w:r>
        <w:t>文件领取</w:t>
      </w:r>
      <w:r>
        <w:tab/>
      </w:r>
      <w:r>
        <w:fldChar w:fldCharType="begin"/>
      </w:r>
      <w:r>
        <w:instrText xml:space="preserve"> PAGEREF _Toc5529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_Toc2118 </w:instrText>
      </w:r>
      <w:r>
        <w:fldChar w:fldCharType="separate"/>
      </w:r>
      <w:r>
        <w:rPr>
          <w:rFonts w:hint="eastAsia"/>
        </w:rPr>
        <w:t xml:space="preserve">4.2.2、 </w:t>
      </w:r>
      <w:r>
        <w:t>答疑文件领取</w:t>
      </w:r>
      <w:r>
        <w:tab/>
      </w:r>
      <w:r>
        <w:fldChar w:fldCharType="begin"/>
      </w:r>
      <w:r>
        <w:instrText xml:space="preserve"> PAGEREF _Toc2118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_Toc17309 </w:instrText>
      </w:r>
      <w:r>
        <w:fldChar w:fldCharType="separate"/>
      </w:r>
      <w:r>
        <w:rPr>
          <w:rFonts w:hint="eastAsia"/>
        </w:rPr>
        <w:t>4.2.3、 上传</w:t>
      </w:r>
      <w:r>
        <w:rPr>
          <w:rFonts w:hint="eastAsia"/>
          <w:lang w:val="en-US" w:eastAsia="zh-CN"/>
        </w:rPr>
        <w:t>响应</w:t>
      </w:r>
      <w:r>
        <w:rPr>
          <w:rFonts w:hint="eastAsia"/>
        </w:rPr>
        <w:t>文件</w:t>
      </w:r>
      <w:r>
        <w:tab/>
      </w:r>
      <w:r>
        <w:fldChar w:fldCharType="begin"/>
      </w:r>
      <w:r>
        <w:instrText xml:space="preserve"> PAGEREF _Toc17309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_Toc24366 </w:instrText>
      </w:r>
      <w:r>
        <w:fldChar w:fldCharType="separate"/>
      </w:r>
      <w:r>
        <w:rPr>
          <w:rFonts w:hint="eastAsia"/>
        </w:rPr>
        <w:t>4.2.4、 开标签到解密</w:t>
      </w:r>
      <w:r>
        <w:tab/>
      </w:r>
      <w:r>
        <w:fldChar w:fldCharType="begin"/>
      </w:r>
      <w:r>
        <w:instrText xml:space="preserve"> PAGEREF _Toc24366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_Toc19628 </w:instrText>
      </w:r>
      <w:r>
        <w:fldChar w:fldCharType="separate"/>
      </w:r>
      <w:r>
        <w:rPr>
          <w:rFonts w:hint="eastAsia"/>
        </w:rPr>
        <w:t>4.2.5、 评标澄清回复</w:t>
      </w:r>
      <w:r>
        <w:tab/>
      </w:r>
      <w:r>
        <w:fldChar w:fldCharType="begin"/>
      </w:r>
      <w:r>
        <w:instrText xml:space="preserve"> PAGEREF _Toc19628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_Toc2258 </w:instrText>
      </w:r>
      <w:r>
        <w:fldChar w:fldCharType="separate"/>
      </w:r>
      <w:r>
        <w:rPr>
          <w:rFonts w:hint="eastAsia"/>
        </w:rPr>
        <w:t>4.2.6、 提问</w:t>
      </w:r>
      <w:r>
        <w:tab/>
      </w:r>
      <w:r>
        <w:fldChar w:fldCharType="begin"/>
      </w:r>
      <w:r>
        <w:instrText xml:space="preserve"> PAGEREF _Toc2258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_Toc14061 </w:instrText>
      </w:r>
      <w:r>
        <w:fldChar w:fldCharType="separate"/>
      </w:r>
      <w:r>
        <w:rPr>
          <w:rFonts w:hint="eastAsia"/>
        </w:rPr>
        <w:t xml:space="preserve">4.2.7、 </w:t>
      </w:r>
      <w:r>
        <w:rPr>
          <w:rFonts w:hint="eastAsia"/>
          <w:lang w:val="en-US" w:eastAsia="zh-CN"/>
        </w:rPr>
        <w:t>质疑</w:t>
      </w:r>
      <w:r>
        <w:tab/>
      </w:r>
      <w:r>
        <w:fldChar w:fldCharType="begin"/>
      </w:r>
      <w:r>
        <w:instrText xml:space="preserve"> PAGEREF _Toc14061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06"/>
        </w:tabs>
      </w:pPr>
      <w:r>
        <w:fldChar w:fldCharType="begin"/>
      </w:r>
      <w:r>
        <w:instrText xml:space="preserve"> HYPERLINK \l _Toc29607 </w:instrText>
      </w:r>
      <w:r>
        <w:fldChar w:fldCharType="separate"/>
      </w:r>
      <w:r>
        <w:rPr>
          <w:rFonts w:hint="eastAsia" w:ascii="思源宋体 CN ExtraLight" w:hAnsi="思源宋体 CN ExtraLight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4.3、 </w:t>
      </w:r>
      <w:r>
        <w:rPr>
          <w:rFonts w:hint="eastAsia"/>
        </w:rPr>
        <w:t>中标项目</w:t>
      </w:r>
      <w:r>
        <w:tab/>
      </w:r>
      <w:r>
        <w:fldChar w:fldCharType="begin"/>
      </w:r>
      <w:r>
        <w:instrText xml:space="preserve"> PAGEREF _Toc29607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_Toc23621 </w:instrText>
      </w:r>
      <w:r>
        <w:fldChar w:fldCharType="separate"/>
      </w:r>
      <w:r>
        <w:rPr>
          <w:rFonts w:hint="eastAsia"/>
        </w:rPr>
        <w:t xml:space="preserve">4.3.1、 </w:t>
      </w:r>
      <w:r>
        <w:rPr>
          <w:rFonts w:hint="eastAsia"/>
          <w:lang w:val="en-US" w:eastAsia="zh-CN"/>
        </w:rPr>
        <w:t>成交</w:t>
      </w:r>
      <w:r>
        <w:t>通知书</w:t>
      </w:r>
      <w:r>
        <w:rPr>
          <w:rFonts w:hint="eastAsia"/>
        </w:rPr>
        <w:t>查看</w:t>
      </w:r>
      <w:r>
        <w:tab/>
      </w:r>
      <w:r>
        <w:fldChar w:fldCharType="begin"/>
      </w:r>
      <w:r>
        <w:instrText xml:space="preserve"> PAGEREF _Toc23621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jc w:val="left"/>
      </w:pPr>
      <w:r>
        <w:fldChar w:fldCharType="end"/>
      </w:r>
    </w:p>
    <w:p>
      <w:pPr>
        <w:pStyle w:val="3"/>
        <w:rPr>
          <w:rFonts w:ascii="思源宋体 CN ExtraLight" w:hAnsi="思源宋体 CN ExtraLight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567" w:footer="680" w:gutter="0"/>
          <w:pgNumType w:start="1"/>
          <w:cols w:space="425" w:num="1"/>
          <w:docGrid w:type="lines" w:linePitch="312" w:charSpace="0"/>
        </w:sectPr>
      </w:pPr>
      <w:bookmarkStart w:id="0" w:name="_Toc48942441"/>
      <w:bookmarkStart w:id="1" w:name="_Toc48913150"/>
      <w:bookmarkStart w:id="2" w:name="_Toc27751"/>
      <w:bookmarkStart w:id="3" w:name="_Toc404243487"/>
      <w:bookmarkStart w:id="4" w:name="_Toc4379"/>
      <w:bookmarkStart w:id="5" w:name="_Toc404764406"/>
      <w:bookmarkStart w:id="6" w:name="_Toc346701609"/>
      <w:bookmarkStart w:id="7" w:name="_Toc1819"/>
      <w:bookmarkStart w:id="8" w:name="_Toc346183627"/>
      <w:bookmarkStart w:id="9" w:name="_Toc404765182"/>
    </w:p>
    <w:p>
      <w:pPr>
        <w:pStyle w:val="3"/>
        <w:rPr>
          <w:rFonts w:ascii="思源宋体 CN ExtraLight" w:hAnsi="思源宋体 CN ExtraLight"/>
        </w:rPr>
      </w:pPr>
      <w:bookmarkStart w:id="10" w:name="_Toc26276"/>
      <w:r>
        <w:rPr>
          <w:rFonts w:ascii="思源宋体 CN ExtraLight" w:hAnsi="思源宋体 CN ExtraLight"/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>
      <w:pPr>
        <w:pStyle w:val="4"/>
        <w:bidi w:val="0"/>
      </w:pPr>
      <w:bookmarkStart w:id="11" w:name="_Toc9922"/>
      <w:bookmarkStart w:id="12" w:name="_Toc475978915"/>
      <w:bookmarkStart w:id="13" w:name="_Toc24828"/>
      <w:bookmarkStart w:id="14" w:name="_Toc50105270"/>
      <w:bookmarkStart w:id="15" w:name="_Toc15860"/>
      <w:bookmarkStart w:id="16" w:name="_Toc23676"/>
      <w:bookmarkStart w:id="17" w:name="_Toc39822411"/>
      <w:bookmarkStart w:id="18" w:name="_Toc50105307"/>
      <w:bookmarkStart w:id="19" w:name="_Toc29366"/>
      <w:r>
        <w:t>驱动安装说明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>
      <w:pPr>
        <w:pStyle w:val="5"/>
        <w:bidi w:val="0"/>
      </w:pPr>
      <w:bookmarkStart w:id="20" w:name="_Toc50105271"/>
      <w:bookmarkStart w:id="21" w:name="_Toc39822412"/>
      <w:bookmarkStart w:id="22" w:name="_Toc26364"/>
      <w:bookmarkStart w:id="23" w:name="_Toc9809"/>
      <w:bookmarkStart w:id="24" w:name="_Toc1457"/>
      <w:bookmarkStart w:id="25" w:name="_Toc12540"/>
      <w:bookmarkStart w:id="26" w:name="_Toc475978916"/>
      <w:bookmarkStart w:id="27" w:name="_Toc8621"/>
      <w:bookmarkStart w:id="28" w:name="_Toc50105308"/>
      <w:r>
        <w:t>安装驱动程序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>
      <w:pPr>
        <w:bidi w:val="0"/>
      </w:pPr>
      <w:r>
        <w:t>1、双击安装程序</w:t>
      </w:r>
      <w:r>
        <w:drawing>
          <wp:inline distT="0" distB="0" distL="114300" distR="114300">
            <wp:extent cx="723900" cy="10001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，进入安装页面。</w:t>
      </w:r>
    </w:p>
    <w:p>
      <w:pPr>
        <w:pStyle w:val="27"/>
        <w:bidi w:val="0"/>
      </w:pPr>
      <w:r>
        <w:drawing>
          <wp:inline distT="0" distB="0" distL="114300" distR="114300">
            <wp:extent cx="5269230" cy="3952240"/>
            <wp:effectExtent l="0" t="0" r="7620" b="1016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FF0000"/>
        </w:rPr>
      </w:pPr>
      <w:r>
        <w:rPr>
          <w:rFonts w:hint="eastAsia"/>
          <w:color w:val="FF0000"/>
        </w:rPr>
        <w:t>注：在安装驱动之前，请确保所有浏览器均已关闭。</w:t>
      </w:r>
    </w:p>
    <w:p>
      <w:pPr>
        <w:bidi w:val="0"/>
      </w:pPr>
      <w:r>
        <w:rPr>
          <w:rFonts w:hint="eastAsia"/>
        </w:rPr>
        <w:t>2、选中协议，</w:t>
      </w:r>
      <w:r>
        <w:t>点击</w:t>
      </w:r>
      <w:r>
        <w:rPr>
          <w:rFonts w:hint="eastAsia"/>
        </w:rPr>
        <w:t>“自定义安装”，打开安装目录位置</w:t>
      </w:r>
      <w:r>
        <w:t>。</w:t>
      </w:r>
    </w:p>
    <w:p>
      <w:pPr>
        <w:pStyle w:val="27"/>
        <w:bidi w:val="0"/>
      </w:pPr>
      <w:r>
        <w:drawing>
          <wp:inline distT="0" distB="0" distL="114300" distR="114300">
            <wp:extent cx="5269230" cy="3952240"/>
            <wp:effectExtent l="0" t="0" r="7620" b="1016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如果不点击“自定义安装”，点击“快速安装”按钮，则直接开始安装驱动，安装位置默认。</w:t>
      </w:r>
    </w:p>
    <w:p>
      <w:pPr>
        <w:bidi w:val="0"/>
      </w:pPr>
      <w:r>
        <w:rPr>
          <w:rFonts w:hint="eastAsia"/>
        </w:rPr>
        <w:t>3、选择</w:t>
      </w:r>
      <w:r>
        <w:t>需要</w:t>
      </w:r>
      <w:r>
        <w:rPr>
          <w:rFonts w:hint="eastAsia"/>
        </w:rPr>
        <w:t>安装</w:t>
      </w:r>
      <w:r>
        <w:t>的目录</w:t>
      </w:r>
      <w:r>
        <w:rPr>
          <w:rFonts w:hint="eastAsia"/>
        </w:rPr>
        <w:t>，点击“立即安装”按钮，开始安装驱动。</w:t>
      </w:r>
    </w:p>
    <w:p>
      <w:pPr>
        <w:pStyle w:val="27"/>
        <w:bidi w:val="0"/>
      </w:pPr>
      <w:r>
        <w:drawing>
          <wp:inline distT="0" distB="0" distL="114300" distR="114300">
            <wp:extent cx="5273675" cy="3515995"/>
            <wp:effectExtent l="0" t="0" r="14605" b="444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4、驱动安装完成后，打开完成界面。</w:t>
      </w:r>
    </w:p>
    <w:p>
      <w:pPr>
        <w:pStyle w:val="27"/>
        <w:bidi w:val="0"/>
      </w:pPr>
      <w:r>
        <w:drawing>
          <wp:inline distT="0" distB="0" distL="114300" distR="114300">
            <wp:extent cx="5273675" cy="3515995"/>
            <wp:effectExtent l="0" t="0" r="14605" b="444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5、</w:t>
      </w:r>
      <w:r>
        <w:rPr>
          <w:rFonts w:hint="eastAsia"/>
        </w:rPr>
        <w:t>点击“完成”按钮，驱动安装成功，桌面显示图标</w:t>
      </w:r>
      <w:r>
        <w:drawing>
          <wp:inline distT="0" distB="0" distL="114300" distR="114300">
            <wp:extent cx="723900" cy="10096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。</w:t>
      </w:r>
    </w:p>
    <w:p>
      <w:pPr>
        <w:ind w:left="0" w:leftChars="0" w:firstLine="0" w:firstLineChars="0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36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ascii="思源宋体 CN ExtraLight" w:hAnsi="思源宋体 CN ExtraLight"/>
        </w:rPr>
      </w:pPr>
      <w:bookmarkStart w:id="29" w:name="_Toc346183639"/>
      <w:bookmarkStart w:id="30" w:name="_Toc11788"/>
      <w:bookmarkStart w:id="31" w:name="_Toc28229"/>
      <w:bookmarkStart w:id="32" w:name="_Toc404765194"/>
      <w:bookmarkStart w:id="33" w:name="_Toc25426"/>
      <w:bookmarkStart w:id="34" w:name="_Toc346701621"/>
      <w:bookmarkStart w:id="35" w:name="_Toc48913162"/>
      <w:bookmarkStart w:id="36" w:name="_Toc48942453"/>
      <w:bookmarkStart w:id="37" w:name="_Toc404243499"/>
      <w:bookmarkStart w:id="38" w:name="_Toc404764418"/>
      <w:bookmarkStart w:id="39" w:name="_Toc24825"/>
      <w:r>
        <w:rPr>
          <w:rFonts w:ascii="思源宋体 CN ExtraLight" w:hAnsi="思源宋体 CN ExtraLight"/>
        </w:rPr>
        <w:t>浏览器配置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>
      <w:pPr>
        <w:pStyle w:val="5"/>
        <w:rPr>
          <w:rFonts w:ascii="思源宋体 CN ExtraLight" w:hAnsi="思源宋体 CN ExtraLight"/>
        </w:rPr>
      </w:pPr>
      <w:bookmarkStart w:id="40" w:name="_Toc404764419"/>
      <w:bookmarkStart w:id="41" w:name="_Toc48913163"/>
      <w:bookmarkStart w:id="42" w:name="_Toc346183640"/>
      <w:bookmarkStart w:id="43" w:name="_Toc404243500"/>
      <w:bookmarkStart w:id="44" w:name="_Toc15901"/>
      <w:bookmarkStart w:id="45" w:name="_Toc48942454"/>
      <w:bookmarkStart w:id="46" w:name="_Toc404765195"/>
      <w:bookmarkStart w:id="47" w:name="_Toc19167"/>
      <w:bookmarkStart w:id="48" w:name="_Toc346701622"/>
      <w:bookmarkStart w:id="49" w:name="_Toc13185"/>
      <w:bookmarkStart w:id="50" w:name="_Toc22985"/>
      <w:r>
        <w:rPr>
          <w:rFonts w:ascii="思源宋体 CN ExtraLight" w:hAnsi="思源宋体 CN ExtraLight"/>
        </w:rPr>
        <w:t>Internet选项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pStyle w:val="2"/>
        <w:rPr>
          <w:rFonts w:hint="default" w:eastAsia="思源宋体 CN ExtraLight"/>
          <w:color w:val="FF0000"/>
          <w:sz w:val="28"/>
          <w:szCs w:val="24"/>
          <w:lang w:val="en-US" w:eastAsia="zh-CN"/>
        </w:rPr>
      </w:pPr>
      <w:r>
        <w:rPr>
          <w:rFonts w:hint="eastAsia" w:ascii="思源宋体 CN ExtraLight" w:hAnsi="思源宋体 CN ExtraLight" w:eastAsia="思源宋体 CN ExtraLight"/>
          <w:color w:val="FF0000"/>
          <w:sz w:val="28"/>
          <w:szCs w:val="24"/>
          <w:lang w:val="en-US" w:eastAsia="zh-CN"/>
        </w:rPr>
        <w:t>本系统环境仅支持IE浏览器，请注意是否使用的为IE浏览器。</w:t>
      </w:r>
    </w:p>
    <w:p>
      <w:pP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eastAsia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请使用IE浏览器。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打开浏览器，在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2350" cy="3152775"/>
            <wp:effectExtent l="0" t="0" r="3810" b="190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ind w:firstLine="0" w:firstLineChars="0"/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ind w:firstLine="0" w:firstLineChars="0"/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48075" cy="3895725"/>
            <wp:effectExtent l="0" t="0" r="9525" b="5715"/>
            <wp:docPr id="9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图片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按钮，出现如下对话框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43325" cy="3048000"/>
            <wp:effectExtent l="0" t="0" r="5715" b="0"/>
            <wp:docPr id="9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图片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输入系统服务器的IP地址，格式例如：192.168.0.123，然后点击“添加”按钮完成添加，再按“关闭”按钮退出。</w:t>
      </w:r>
    </w:p>
    <w:p>
      <w:pP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33775" cy="4152900"/>
            <wp:effectExtent l="0" t="0" r="1905" b="7620"/>
            <wp:docPr id="9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图片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86150" cy="3676650"/>
            <wp:effectExtent l="0" t="0" r="3810" b="11430"/>
            <wp:docPr id="943" name="图片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图片 9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jc w:val="center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ascii="思源宋体 CN ExtraLight" w:hAnsi="思源宋体 CN ExtraLight"/>
        </w:rPr>
      </w:pPr>
      <w:bookmarkStart w:id="51" w:name="_Toc404764420"/>
      <w:bookmarkStart w:id="52" w:name="_Toc11713"/>
      <w:bookmarkStart w:id="53" w:name="_Toc404243501"/>
      <w:bookmarkStart w:id="54" w:name="_Toc404765196"/>
      <w:bookmarkStart w:id="55" w:name="_Toc48913164"/>
      <w:bookmarkStart w:id="56" w:name="_Toc191"/>
      <w:bookmarkStart w:id="57" w:name="_Toc24724"/>
      <w:bookmarkStart w:id="58" w:name="_Toc48942455"/>
      <w:bookmarkStart w:id="59" w:name="_Toc346701623"/>
      <w:bookmarkStart w:id="60" w:name="_Toc346183641"/>
      <w:bookmarkStart w:id="61" w:name="_Toc14709"/>
      <w:r>
        <w:rPr>
          <w:rFonts w:ascii="思源宋体 CN ExtraLight" w:hAnsi="思源宋体 CN ExtraLight"/>
        </w:rPr>
        <w:t>关闭拦截工具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>
      <w:pP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3"/>
        <w:ind w:firstLine="48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95875" cy="2324100"/>
            <wp:effectExtent l="0" t="0" r="9525" b="762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62" w:name="_Toc28878"/>
      <w:bookmarkStart w:id="63" w:name="_Toc11977"/>
      <w:bookmarkStart w:id="64" w:name="_Toc14509"/>
      <w:r>
        <w:t>投标人网上交易平台</w:t>
      </w:r>
      <w:bookmarkEnd w:id="62"/>
      <w:bookmarkEnd w:id="63"/>
      <w:bookmarkEnd w:id="64"/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本系统主要提供给各类投标人使用，实现投标人注册、诚信库管理、投标人网上交易业务处理、业务查询等功能。</w:t>
      </w:r>
    </w:p>
    <w:p>
      <w:pPr>
        <w:pStyle w:val="3"/>
      </w:pPr>
      <w:bookmarkStart w:id="65" w:name="_Toc28373"/>
      <w:bookmarkStart w:id="66" w:name="_Toc31154"/>
      <w:bookmarkStart w:id="67" w:name="_Toc24716"/>
      <w:r>
        <w:t>投标人管理</w:t>
      </w:r>
      <w:bookmarkEnd w:id="65"/>
      <w:bookmarkEnd w:id="66"/>
      <w:bookmarkEnd w:id="67"/>
    </w:p>
    <w:p>
      <w:pPr>
        <w:pStyle w:val="4"/>
      </w:pPr>
      <w:bookmarkStart w:id="68" w:name="_Toc7377"/>
      <w:bookmarkStart w:id="69" w:name="_Toc1859"/>
      <w:bookmarkStart w:id="70" w:name="_Toc8315"/>
      <w:r>
        <w:t>投标人注册</w:t>
      </w:r>
      <w:bookmarkEnd w:id="68"/>
      <w:bookmarkEnd w:id="69"/>
      <w:bookmarkEnd w:id="70"/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1、投标人员登录交易平台，点击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免费注册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91105"/>
            <wp:effectExtent l="0" t="0" r="1016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2、点击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“我已阅读并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同意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该协议”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按钮，确认注册协议，如下图：</w:t>
      </w:r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91105"/>
            <wp:effectExtent l="0" t="0" r="1016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3、填写网员信息，点击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“立即注册”按钮，提示注册成功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91105"/>
            <wp:effectExtent l="0" t="0" r="10160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91105"/>
            <wp:effectExtent l="0" t="0" r="10160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1" w:name="_Toc15621"/>
      <w:bookmarkStart w:id="72" w:name="_Toc3705"/>
      <w:bookmarkStart w:id="73" w:name="_Toc14902"/>
      <w:r>
        <w:t>诚信库管理</w:t>
      </w:r>
      <w:bookmarkEnd w:id="71"/>
      <w:bookmarkEnd w:id="72"/>
      <w:bookmarkEnd w:id="73"/>
    </w:p>
    <w:p>
      <w:pPr>
        <w:ind w:firstLine="422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投标人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登录后可以进行本单位基本信息的维护，录入、修改基本信息。</w:t>
      </w:r>
    </w:p>
    <w:p>
      <w:pPr>
        <w:ind w:firstLine="422"/>
        <w:jc w:val="left"/>
        <w:rPr>
          <w:rFonts w:ascii="思源宋体 CN ExtraLight" w:hAnsi="思源宋体 CN ExtraLight" w:eastAsia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点击基本信息菜单中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的“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修改信息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”按钮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填写信息并提交审核，对诚信库信息进行维护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pStyle w:val="2"/>
        <w:numPr>
          <w:ilvl w:val="0"/>
          <w:numId w:val="3"/>
        </w:numPr>
      </w:pPr>
      <w:r>
        <w:rPr>
          <w:rFonts w:hint="eastAsia"/>
          <w:lang w:val="en-US" w:eastAsia="zh-CN"/>
        </w:rPr>
        <w:t>其中标红信息必填，填写完成后注意提交基本信息。</w:t>
      </w:r>
      <w:bookmarkStart w:id="114" w:name="_GoBack"/>
      <w:bookmarkEnd w:id="114"/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61260"/>
            <wp:effectExtent l="0" t="0" r="10160" b="1524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注：此处对于诚信库信息维护不加详细介绍。</w:t>
      </w:r>
    </w:p>
    <w:p>
      <w:pPr>
        <w:pStyle w:val="3"/>
      </w:pPr>
      <w:bookmarkStart w:id="74" w:name="_Toc32357"/>
      <w:bookmarkStart w:id="75" w:name="_Toc11083"/>
      <w:bookmarkStart w:id="76" w:name="_Toc26072"/>
      <w:r>
        <w:t>业务管理</w:t>
      </w:r>
      <w:bookmarkEnd w:id="74"/>
      <w:bookmarkEnd w:id="75"/>
      <w:bookmarkEnd w:id="76"/>
    </w:p>
    <w:p>
      <w:pPr>
        <w:pStyle w:val="4"/>
      </w:pPr>
      <w:bookmarkStart w:id="77" w:name="_Toc22592"/>
      <w:bookmarkStart w:id="78" w:name="_Toc4073"/>
      <w:bookmarkStart w:id="79" w:name="_Toc10739"/>
      <w:r>
        <w:rPr>
          <w:rFonts w:hint="eastAsia"/>
          <w:lang w:val="en-US" w:eastAsia="zh-CN"/>
        </w:rPr>
        <w:t>交易</w:t>
      </w:r>
      <w:r>
        <w:rPr>
          <w:rFonts w:hint="eastAsia"/>
        </w:rPr>
        <w:t>公告</w:t>
      </w:r>
      <w:bookmarkEnd w:id="77"/>
      <w:bookmarkEnd w:id="78"/>
      <w:bookmarkEnd w:id="79"/>
    </w:p>
    <w:p>
      <w:pPr>
        <w:pStyle w:val="5"/>
      </w:pPr>
      <w:bookmarkStart w:id="80" w:name="_Toc11335"/>
      <w:bookmarkStart w:id="81" w:name="_Toc2027"/>
      <w:bookmarkStart w:id="82" w:name="_Toc5665"/>
      <w:bookmarkStart w:id="83" w:name="_Toc16259"/>
      <w:bookmarkStart w:id="84" w:name="_Toc2896"/>
      <w:r>
        <w:rPr>
          <w:rFonts w:hint="eastAsia"/>
        </w:rPr>
        <w:t>查看公告详情</w:t>
      </w:r>
      <w:bookmarkEnd w:id="80"/>
      <w:bookmarkEnd w:id="81"/>
      <w:bookmarkEnd w:id="82"/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1、点击“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发包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公告”菜单，进入招标公告列表，如下图：</w:t>
      </w:r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91105"/>
            <wp:effectExtent l="0" t="0" r="10160" b="444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交易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公告列表页面，鼠标放置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上，点击“公告详情”按钮，进入公告详情页面，如下图：</w:t>
      </w:r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91105"/>
            <wp:effectExtent l="0" t="0" r="10160" b="444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bookmarkEnd w:id="83"/>
    <w:bookmarkEnd w:id="84"/>
    <w:p>
      <w:pPr>
        <w:pStyle w:val="5"/>
      </w:pPr>
      <w:bookmarkStart w:id="85" w:name="_Toc15271"/>
      <w:r>
        <w:rPr>
          <w:rFonts w:hint="eastAsia"/>
          <w:lang w:val="en-US" w:eastAsia="zh-CN"/>
        </w:rPr>
        <w:t>交易</w:t>
      </w:r>
      <w:r>
        <w:rPr>
          <w:rFonts w:hint="eastAsia"/>
        </w:rPr>
        <w:t>文件下载</w:t>
      </w:r>
      <w:bookmarkEnd w:id="85"/>
    </w:p>
    <w:p>
      <w:pPr>
        <w:numPr>
          <w:ilvl w:val="0"/>
          <w:numId w:val="4"/>
        </w:numPr>
        <w:ind w:firstLine="420" w:firstLineChars="200"/>
        <w:jc w:val="left"/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交易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公告列表页面，鼠标放置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上，点击“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”按钮，进入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详情页面，如下图：</w:t>
      </w:r>
    </w:p>
    <w:p>
      <w:pPr>
        <w:pStyle w:val="2"/>
        <w:numPr>
          <w:ilvl w:val="0"/>
          <w:numId w:val="0"/>
        </w:numPr>
        <w:rPr>
          <w:rFonts w:ascii="思源宋体 CN ExtraLight" w:hAnsi="思源宋体 CN ExtraLight" w:eastAsia="思源宋体 CN ExtraLight"/>
        </w:rPr>
      </w:pPr>
      <w:r>
        <w:drawing>
          <wp:inline distT="0" distB="0" distL="114300" distR="114300">
            <wp:extent cx="5266690" cy="2491105"/>
            <wp:effectExtent l="0" t="0" r="10160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jc w:val="left"/>
        <w:rPr>
          <w:rFonts w:ascii="思源宋体 CN ExtraLight" w:hAnsi="思源宋体 CN ExtraLight" w:eastAsia="思源宋体 CN ExtraLight"/>
        </w:rPr>
      </w:pPr>
      <w:r>
        <w:rPr>
          <w:rFonts w:hint="eastAsia" w:ascii="思源宋体 CN ExtraLight" w:hAnsi="思源宋体 CN ExtraLight" w:eastAsia="思源宋体 CN ExtraLight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/>
        </w:rPr>
        <w:t>填写联系人/联系电话，点击“保存”按钮保存信息，如下图：</w:t>
      </w:r>
    </w:p>
    <w:p>
      <w:pPr>
        <w:pStyle w:val="2"/>
        <w:ind w:firstLine="0" w:firstLineChars="0"/>
        <w:jc w:val="left"/>
        <w:rPr>
          <w:rFonts w:ascii="思源宋体 CN ExtraLight" w:hAnsi="思源宋体 CN ExtraLight" w:eastAsia="思源宋体 CN ExtraLight"/>
        </w:rPr>
      </w:pPr>
      <w:r>
        <w:drawing>
          <wp:inline distT="0" distB="0" distL="114300" distR="114300">
            <wp:extent cx="5266690" cy="2491105"/>
            <wp:effectExtent l="0" t="0" r="10160" b="444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jc w:val="left"/>
        <w:rPr>
          <w:rFonts w:ascii="思源宋体 CN ExtraLight" w:hAnsi="思源宋体 CN ExtraLight" w:eastAsia="思源宋体 CN ExtraLight"/>
        </w:rPr>
      </w:pPr>
      <w:r>
        <w:rPr>
          <w:rFonts w:hint="eastAsia" w:ascii="思源宋体 CN ExtraLight" w:hAnsi="思源宋体 CN ExtraLight" w:eastAsia="思源宋体 CN ExtraLight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/>
          <w:lang w:eastAsia="zh-CN"/>
        </w:rPr>
        <w:t>、</w:t>
      </w:r>
      <w:r>
        <w:rPr>
          <w:rFonts w:hint="eastAsia" w:ascii="思源宋体 CN ExtraLight" w:hAnsi="思源宋体 CN ExtraLight" w:eastAsia="思源宋体 CN ExtraLight"/>
        </w:rPr>
        <w:t>点击“</w:t>
      </w:r>
      <w:r>
        <w:rPr>
          <w:rFonts w:hint="eastAsia" w:ascii="思源宋体 CN ExtraLight" w:hAnsi="思源宋体 CN ExtraLight" w:eastAsia="思源宋体 CN ExtraLight"/>
          <w:lang w:val="en-US" w:eastAsia="zh-CN"/>
        </w:rPr>
        <w:t>下载交易文件</w:t>
      </w:r>
      <w:r>
        <w:rPr>
          <w:rFonts w:hint="eastAsia" w:ascii="思源宋体 CN ExtraLight" w:hAnsi="思源宋体 CN ExtraLight" w:eastAsia="思源宋体 CN ExtraLight"/>
        </w:rPr>
        <w:t>”按钮下载招标文件，下载完成即报名成功。</w:t>
      </w:r>
    </w:p>
    <w:p>
      <w:pPr>
        <w:pStyle w:val="2"/>
        <w:ind w:firstLine="0" w:firstLineChars="0"/>
        <w:jc w:val="left"/>
        <w:rPr>
          <w:rFonts w:ascii="思源宋体 CN ExtraLight" w:hAnsi="思源宋体 CN ExtraLight" w:eastAsia="思源宋体 CN ExtraLight"/>
        </w:rPr>
      </w:pPr>
      <w:r>
        <w:drawing>
          <wp:inline distT="0" distB="0" distL="114300" distR="114300">
            <wp:extent cx="5259070" cy="2463800"/>
            <wp:effectExtent l="0" t="0" r="17780" b="1270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</w:pPr>
      <w:bookmarkStart w:id="86" w:name="_Toc10477"/>
      <w:bookmarkStart w:id="87" w:name="_Toc293"/>
      <w:bookmarkStart w:id="88" w:name="_Toc30576"/>
      <w:r>
        <w:rPr>
          <w:rFonts w:hint="eastAsia"/>
        </w:rPr>
        <w:t>我的项目</w:t>
      </w:r>
      <w:bookmarkEnd w:id="86"/>
      <w:bookmarkEnd w:id="87"/>
      <w:bookmarkEnd w:id="88"/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</w:pPr>
      <w:bookmarkStart w:id="89" w:name="_Toc21162"/>
      <w:bookmarkStart w:id="90" w:name="_Toc5529"/>
      <w:bookmarkStart w:id="91" w:name="_Toc8131"/>
      <w:r>
        <w:rPr>
          <w:rFonts w:hint="eastAsia"/>
          <w:lang w:val="en-US" w:eastAsia="zh-CN"/>
        </w:rPr>
        <w:t>交易</w:t>
      </w:r>
      <w:r>
        <w:t>文件领取</w:t>
      </w:r>
      <w:bookmarkEnd w:id="89"/>
      <w:bookmarkEnd w:id="90"/>
      <w:bookmarkEnd w:id="91"/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“我的项目”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找到需要领取文件的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，鼠标放置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上，点击“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”按钮，进入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详情页面，如下图：</w:t>
      </w:r>
    </w:p>
    <w:p>
      <w:pPr>
        <w:pStyle w:val="2"/>
        <w:numPr>
          <w:ilvl w:val="0"/>
          <w:numId w:val="0"/>
        </w:numP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91105"/>
            <wp:effectExtent l="0" t="0" r="10160" b="444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参照（4.1.2“交易文件下载”）进行操作即可，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查看下载情况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，可以查看相关情况。</w:t>
      </w:r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color w:val="auto"/>
        </w:rPr>
      </w:pPr>
      <w:bookmarkStart w:id="92" w:name="_Toc10530"/>
      <w:bookmarkStart w:id="93" w:name="_Toc14151"/>
      <w:bookmarkStart w:id="94" w:name="_Toc2118"/>
      <w:r>
        <w:rPr>
          <w:color w:val="auto"/>
        </w:rPr>
        <w:t>答疑文件领取</w:t>
      </w:r>
      <w:bookmarkEnd w:id="92"/>
      <w:bookmarkEnd w:id="93"/>
      <w:bookmarkEnd w:id="94"/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“我的项目”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找到需要领取答疑澄清文件的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，鼠标放置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上，点击“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”按钮，进入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详情页面，如下图：</w:t>
      </w:r>
    </w:p>
    <w:p>
      <w:pPr>
        <w:jc w:val="left"/>
        <w:rPr>
          <w:rFonts w:ascii="思源宋体 CN ExtraLight" w:hAnsi="思源宋体 CN ExtraLight" w:eastAsia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91105"/>
            <wp:effectExtent l="0" t="0" r="10160" b="4445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“答疑文件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答疑文件下载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66690" cy="2491105"/>
            <wp:effectExtent l="0" t="0" r="10160" b="4445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答疑澄清文件下载页面，点击“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答疑澄清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文件。</w:t>
      </w:r>
      <w:r>
        <w:drawing>
          <wp:inline distT="0" distB="0" distL="114300" distR="114300">
            <wp:extent cx="5259070" cy="2463800"/>
            <wp:effectExtent l="0" t="0" r="17780" b="12700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</w:pPr>
      <w:bookmarkStart w:id="95" w:name="_Toc5123"/>
      <w:bookmarkStart w:id="96" w:name="_Toc12840"/>
      <w:bookmarkStart w:id="97" w:name="_Toc17309"/>
      <w:r>
        <w:rPr>
          <w:rFonts w:hint="eastAsia"/>
        </w:rPr>
        <w:t>上传</w:t>
      </w:r>
      <w:r>
        <w:rPr>
          <w:rFonts w:hint="eastAsia"/>
          <w:lang w:val="en-US" w:eastAsia="zh-CN"/>
        </w:rPr>
        <w:t>响应</w:t>
      </w:r>
      <w:r>
        <w:rPr>
          <w:rFonts w:hint="eastAsia"/>
        </w:rPr>
        <w:t>文件</w:t>
      </w:r>
      <w:bookmarkEnd w:id="95"/>
      <w:bookmarkEnd w:id="96"/>
      <w:bookmarkEnd w:id="97"/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“我的项目”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找到需要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上传响应文件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，鼠标放置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上，点击“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”按钮，进入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详情页面，如下图：</w:t>
      </w:r>
    </w:p>
    <w:p>
      <w:pPr>
        <w:ind w:left="420" w:hanging="420" w:hanging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91105"/>
            <wp:effectExtent l="0" t="0" r="10160" b="444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上传响应文件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上传响应文件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left="420" w:hanging="420" w:hanging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91105"/>
            <wp:effectExtent l="0" t="0" r="10160" b="444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、“上传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响应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文件”页面，点击“上传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响应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文件”按钮。如下图：</w:t>
      </w:r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91105"/>
            <wp:effectExtent l="0" t="0" r="10160" b="444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注：到了上传投标文件截止时间则无法上传。</w:t>
      </w:r>
    </w:p>
    <w:p>
      <w:pPr>
        <w:pStyle w:val="5"/>
      </w:pPr>
      <w:bookmarkStart w:id="98" w:name="_Toc25599"/>
      <w:bookmarkStart w:id="99" w:name="_Toc4941"/>
      <w:bookmarkStart w:id="100" w:name="_Toc24366"/>
      <w:r>
        <w:rPr>
          <w:rFonts w:hint="eastAsia"/>
        </w:rPr>
        <w:t>开标签到解密</w:t>
      </w:r>
      <w:bookmarkEnd w:id="98"/>
      <w:bookmarkEnd w:id="99"/>
      <w:bookmarkEnd w:id="100"/>
    </w:p>
    <w:p>
      <w:pPr>
        <w:jc w:val="left"/>
        <w:rPr>
          <w:rFonts w:hint="default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详见《丽水市阳光采购平台-不见面开标大厅投标人操作手册》</w:t>
      </w:r>
    </w:p>
    <w:p>
      <w:pPr>
        <w:ind w:left="42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</w:pPr>
      <w:bookmarkStart w:id="101" w:name="_Toc17217"/>
      <w:bookmarkStart w:id="102" w:name="_Toc11616"/>
      <w:bookmarkStart w:id="103" w:name="_Toc19628"/>
      <w:r>
        <w:rPr>
          <w:rFonts w:hint="eastAsia"/>
        </w:rPr>
        <w:t>评标澄清回复</w:t>
      </w:r>
      <w:bookmarkEnd w:id="101"/>
      <w:bookmarkEnd w:id="102"/>
      <w:bookmarkEnd w:id="103"/>
    </w:p>
    <w:p>
      <w:pPr>
        <w:ind w:firstLine="422"/>
        <w:jc w:val="left"/>
        <w:rPr>
          <w:rFonts w:ascii="思源宋体 CN ExtraLight" w:hAnsi="思源宋体 CN ExtraLight" w:eastAsia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回复评标澄清问题。</w:t>
      </w:r>
    </w:p>
    <w:p>
      <w:pPr>
        <w:ind w:firstLine="420" w:firstLineChars="199"/>
        <w:jc w:val="left"/>
        <w:rPr>
          <w:rFonts w:ascii="思源宋体 CN ExtraLight" w:hAnsi="思源宋体 CN ExtraLight" w:eastAsia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1、项目流程页面，点击“评标澄清回复”菜单，进入评标澄清回复列表页面，如下图：</w:t>
      </w:r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2560" cy="1885950"/>
            <wp:effectExtent l="0" t="0" r="0" b="3810"/>
            <wp:docPr id="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2、点击“未答复”“已答复”可以分类查看回复信息，点击“答复”按钮可以进行答复。如下图：（网招的才会走该菜单）</w:t>
      </w:r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5100" cy="1407160"/>
            <wp:effectExtent l="0" t="0" r="12700" b="1016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</w:pPr>
      <w:bookmarkStart w:id="104" w:name="_Toc13457"/>
      <w:bookmarkStart w:id="105" w:name="_Toc28798"/>
      <w:bookmarkStart w:id="106" w:name="_Toc2258"/>
      <w:r>
        <w:rPr>
          <w:rFonts w:hint="eastAsia"/>
        </w:rPr>
        <w:t>提问</w:t>
      </w:r>
      <w:bookmarkEnd w:id="104"/>
      <w:bookmarkEnd w:id="105"/>
      <w:bookmarkEnd w:id="106"/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1、项目流程页面，点击“提问”菜单，进入“查看问题”页面，如下图：</w:t>
      </w:r>
      <w:r>
        <w:drawing>
          <wp:inline distT="0" distB="0" distL="114300" distR="114300">
            <wp:extent cx="5266690" cy="2491105"/>
            <wp:effectExtent l="0" t="0" r="10160" b="444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2、查看问题页面，点击“新增提问”按钮，进入挑选标段（包）页面，如下图：</w:t>
      </w:r>
      <w:r>
        <w:drawing>
          <wp:inline distT="0" distB="0" distL="114300" distR="114300">
            <wp:extent cx="5267960" cy="2456180"/>
            <wp:effectExtent l="0" t="0" r="5080" b="1270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3、选择标段，点击确认选择后，进入新增提问页面。</w:t>
      </w:r>
    </w:p>
    <w:p>
      <w:pPr>
        <w:pStyle w:val="5"/>
      </w:pPr>
      <w:bookmarkStart w:id="107" w:name="_Toc14061"/>
      <w:r>
        <w:rPr>
          <w:rFonts w:hint="eastAsia"/>
          <w:lang w:val="en-US" w:eastAsia="zh-CN"/>
        </w:rPr>
        <w:t>质疑</w:t>
      </w:r>
      <w:bookmarkEnd w:id="107"/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质疑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“查看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质疑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jc w:val="left"/>
        <w:rPr>
          <w:rFonts w:ascii="思源宋体 CN ExtraLight" w:hAnsi="思源宋体 CN ExtraLight" w:eastAsia="思源宋体 CN ExtraLight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91105"/>
            <wp:effectExtent l="0" t="0" r="10160" b="444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查看异议页面，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新增异议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进入新增异议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66690" cy="2461260"/>
            <wp:effectExtent l="0" t="0" r="10160" b="15240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3、新增异议页面，选择异议类别，填写异议内容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依据和理由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等内容，如下图：</w:t>
      </w:r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61260"/>
            <wp:effectExtent l="0" t="0" r="10160" b="15240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注：页面中异议类别添加时有条件如下：</w:t>
      </w:r>
    </w:p>
    <w:p>
      <w:pPr>
        <w:pStyle w:val="25"/>
        <w:numPr>
          <w:ilvl w:val="0"/>
          <w:numId w:val="5"/>
        </w:numPr>
        <w:ind w:left="0"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招标文件：</w:t>
      </w:r>
    </w:p>
    <w:p>
      <w:pPr>
        <w:pStyle w:val="25"/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①、招标文件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审核通过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25"/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②、投标截止时间为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此处获取的是开标时间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，不符合相关规定，不能对招标文件提出异议！根据《中华人民共和国招标投标法实施条例》第二十二条规定：对招标文件有异议的，应当在投标截止时间10日前提出。</w:t>
      </w:r>
    </w:p>
    <w:p>
      <w:pPr>
        <w:pStyle w:val="25"/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③、大于10日，按天算，比如12号截止，2号是不行的，1号异议才行。</w:t>
      </w:r>
    </w:p>
    <w:p>
      <w:pPr>
        <w:pStyle w:val="25"/>
        <w:numPr>
          <w:ilvl w:val="0"/>
          <w:numId w:val="5"/>
        </w:numPr>
        <w:ind w:left="0"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开标过程：开标时间已到。</w:t>
      </w:r>
    </w:p>
    <w:p>
      <w:pPr>
        <w:pStyle w:val="25"/>
        <w:numPr>
          <w:ilvl w:val="0"/>
          <w:numId w:val="5"/>
        </w:numPr>
        <w:ind w:left="0"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评标结果</w:t>
      </w:r>
    </w:p>
    <w:p>
      <w:pPr>
        <w:pStyle w:val="25"/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①、中标候选人公示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审核通过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25"/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②、中标候选人公示期为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此处获取的是中标候选人公示中设置的公示时间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，不符合相关规定，不能对评标结果提出异议！根据《中华人民共和国招标投标法实施条例》第二十二条规定：对评标结果有异议的，应当在中标候选人公示期间提出。</w:t>
      </w:r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4、填写完信息，点击“提交信息”按钮，弹出的意见框中输入意见，点击“确认提交”按钮，提交给招标人。如下图：</w:t>
      </w:r>
      <w:r>
        <w:drawing>
          <wp:inline distT="0" distB="0" distL="114300" distR="114300">
            <wp:extent cx="5266690" cy="2461260"/>
            <wp:effectExtent l="0" t="0" r="10160" b="15240"/>
            <wp:docPr id="3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</w:pPr>
      <w:bookmarkStart w:id="108" w:name="_Toc27349"/>
      <w:bookmarkStart w:id="109" w:name="_Toc29607"/>
      <w:bookmarkStart w:id="110" w:name="_Toc22832"/>
      <w:r>
        <w:rPr>
          <w:rFonts w:hint="eastAsia"/>
        </w:rPr>
        <w:t>中标项目</w:t>
      </w:r>
      <w:bookmarkEnd w:id="108"/>
      <w:bookmarkEnd w:id="109"/>
      <w:bookmarkEnd w:id="110"/>
    </w:p>
    <w:p>
      <w:pPr>
        <w:pStyle w:val="5"/>
        <w:rPr>
          <w:color w:val="auto"/>
        </w:rPr>
      </w:pPr>
      <w:bookmarkStart w:id="111" w:name="_Toc23285"/>
      <w:bookmarkStart w:id="112" w:name="_Toc14727"/>
      <w:bookmarkStart w:id="113" w:name="_Toc23621"/>
      <w:r>
        <w:rPr>
          <w:rFonts w:hint="eastAsia"/>
          <w:color w:val="auto"/>
          <w:lang w:val="en-US" w:eastAsia="zh-CN"/>
        </w:rPr>
        <w:t>成交</w:t>
      </w:r>
      <w:r>
        <w:rPr>
          <w:color w:val="auto"/>
        </w:rPr>
        <w:t>通知书</w:t>
      </w:r>
      <w:r>
        <w:rPr>
          <w:rFonts w:hint="eastAsia"/>
          <w:color w:val="auto"/>
        </w:rPr>
        <w:t>查看</w:t>
      </w:r>
      <w:bookmarkEnd w:id="111"/>
      <w:bookmarkEnd w:id="112"/>
      <w:bookmarkEnd w:id="113"/>
    </w:p>
    <w:p>
      <w:pPr>
        <w:ind w:firstLine="420" w:firstLineChars="200"/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成交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通知书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查看”菜单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成交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通知书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91105"/>
            <wp:effectExtent l="0" t="0" r="10160" b="4445"/>
            <wp:docPr id="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思源宋体 CN ExtraLight" w:hAnsi="思源宋体 CN ExtraLight" w:eastAsia="思源宋体 CN ExtraLight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5" w:type="default"/>
      <w:pgSz w:w="11906" w:h="16838"/>
      <w:pgMar w:top="1440" w:right="1800" w:bottom="1440" w:left="1800" w:header="56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snapToGrid w:val="0"/>
      <w:spacing w:line="360" w:lineRule="auto"/>
      <w:rPr>
        <w:rFonts w:ascii="Times New Roman" w:hAnsi="Times New Roman"/>
        <w:i/>
        <w:iCs/>
        <w:color w:val="8C8C8C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snapToGrid w:val="0"/>
      <w:spacing w:line="360" w:lineRule="auto"/>
      <w:rPr>
        <w:rFonts w:ascii="Times New Roman" w:hAnsi="Times New Roman"/>
        <w:i/>
        <w:iCs/>
        <w:color w:val="8C8C8C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hint="eastAsia" w:ascii="宋体" w:hAnsi="宋体"/>
        <w:lang w:val="en-US" w:eastAsia="zh-CN"/>
      </w:rPr>
      <w:t>丽水市阳光采购服务平台</w:t>
    </w:r>
    <w:r>
      <w:rPr>
        <w:rFonts w:hint="eastAsia" w:ascii="宋体" w:hAnsi="宋体"/>
      </w:rPr>
      <w:t>-投标人操作手册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1388EF"/>
    <w:multiLevelType w:val="multilevel"/>
    <w:tmpl w:val="891388EF"/>
    <w:lvl w:ilvl="0" w:tentative="0">
      <w:start w:val="1"/>
      <w:numFmt w:val="chineseCountingThousand"/>
      <w:pStyle w:val="3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pStyle w:val="4"/>
      <w:isLgl/>
      <w:lvlText w:val="%1.%2、"/>
      <w:lvlJc w:val="left"/>
      <w:pPr>
        <w:ind w:left="284" w:hanging="284"/>
      </w:pPr>
      <w:rPr>
        <w:rFonts w:hint="eastAsia" w:ascii="思源宋体 CN ExtraLight" w:hAnsi="思源宋体 CN ExtraLight" w:eastAsia="思源宋体 CN ExtraLight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pStyle w:val="5"/>
      <w:isLgl/>
      <w:lvlText w:val="%1.%2.%3、"/>
      <w:lvlJc w:val="left"/>
      <w:pPr>
        <w:ind w:left="689" w:hanging="720"/>
      </w:pPr>
      <w:rPr>
        <w:rFonts w:hint="eastAsia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1573" w:hanging="864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">
    <w:nsid w:val="B1A4F8DE"/>
    <w:multiLevelType w:val="singleLevel"/>
    <w:tmpl w:val="B1A4F8D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B757FE4"/>
    <w:multiLevelType w:val="singleLevel"/>
    <w:tmpl w:val="4B757FE4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AF82B0B"/>
    <w:multiLevelType w:val="multilevel"/>
    <w:tmpl w:val="5AF82B0B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5B93160C"/>
    <w:multiLevelType w:val="multilevel"/>
    <w:tmpl w:val="5B93160C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eastAsia" w:ascii="Times New Roman" w:hAnsi="Times New Roman" w:cs="Times New Roman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eastAsia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MxM2ZmMzNiOWFlYzM3MjE1MWMwMWVlMzgwOGMifQ=="/>
  </w:docVars>
  <w:rsids>
    <w:rsidRoot w:val="0076356B"/>
    <w:rsid w:val="00073335"/>
    <w:rsid w:val="00711537"/>
    <w:rsid w:val="0076356B"/>
    <w:rsid w:val="00780521"/>
    <w:rsid w:val="00A15B0B"/>
    <w:rsid w:val="00A8503E"/>
    <w:rsid w:val="00B3089C"/>
    <w:rsid w:val="00F171F5"/>
    <w:rsid w:val="00FD2135"/>
    <w:rsid w:val="00FF4987"/>
    <w:rsid w:val="07584D6E"/>
    <w:rsid w:val="08384EB6"/>
    <w:rsid w:val="0BD865AD"/>
    <w:rsid w:val="106E7336"/>
    <w:rsid w:val="12EB2238"/>
    <w:rsid w:val="15A82382"/>
    <w:rsid w:val="19417F86"/>
    <w:rsid w:val="24A3053A"/>
    <w:rsid w:val="287C5ACA"/>
    <w:rsid w:val="2E575A02"/>
    <w:rsid w:val="33D62557"/>
    <w:rsid w:val="35401E80"/>
    <w:rsid w:val="40C30B30"/>
    <w:rsid w:val="41935A45"/>
    <w:rsid w:val="45145864"/>
    <w:rsid w:val="45224975"/>
    <w:rsid w:val="45FD40BE"/>
    <w:rsid w:val="4627656C"/>
    <w:rsid w:val="4AE72F97"/>
    <w:rsid w:val="4B7D54E4"/>
    <w:rsid w:val="4E052522"/>
    <w:rsid w:val="4E383D9A"/>
    <w:rsid w:val="4E670886"/>
    <w:rsid w:val="5D802CF5"/>
    <w:rsid w:val="5DC13B0A"/>
    <w:rsid w:val="5F2969FD"/>
    <w:rsid w:val="64FC0932"/>
    <w:rsid w:val="67626AD2"/>
    <w:rsid w:val="690A3855"/>
    <w:rsid w:val="6A785246"/>
    <w:rsid w:val="6BFE0877"/>
    <w:rsid w:val="6CED3620"/>
    <w:rsid w:val="6FAA5DE0"/>
    <w:rsid w:val="729575EA"/>
    <w:rsid w:val="73FD4021"/>
    <w:rsid w:val="765237AC"/>
    <w:rsid w:val="77627318"/>
    <w:rsid w:val="7C5623C0"/>
    <w:rsid w:val="7E0A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0"/>
    <w:qFormat/>
    <w:uiPriority w:val="0"/>
    <w:pPr>
      <w:keepNext/>
      <w:keepLines/>
      <w:numPr>
        <w:ilvl w:val="0"/>
        <w:numId w:val="1"/>
      </w:numPr>
      <w:tabs>
        <w:tab w:val="left" w:pos="425"/>
      </w:tabs>
      <w:adjustRightInd w:val="0"/>
      <w:snapToGrid w:val="0"/>
      <w:spacing w:before="120" w:after="120" w:line="360" w:lineRule="auto"/>
      <w:jc w:val="left"/>
      <w:outlineLvl w:val="0"/>
    </w:pPr>
    <w:rPr>
      <w:rFonts w:ascii="思源宋体 CN ExtraLight" w:hAnsi="思源宋体 CN ExtraLight" w:eastAsia="思源宋体 CN ExtraLight"/>
      <w:b/>
      <w:bCs/>
      <w:color w:val="000000" w:themeColor="text1"/>
      <w:kern w:val="44"/>
      <w:sz w:val="32"/>
      <w:szCs w:val="28"/>
      <w14:textFill>
        <w14:solidFill>
          <w14:schemeClr w14:val="tx1"/>
        </w14:solidFill>
      </w14:textFill>
    </w:rPr>
  </w:style>
  <w:style w:type="paragraph" w:styleId="4">
    <w:name w:val="heading 2"/>
    <w:basedOn w:val="1"/>
    <w:next w:val="1"/>
    <w:link w:val="19"/>
    <w:unhideWhenUsed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napToGrid w:val="0"/>
      <w:spacing w:before="120" w:after="120" w:line="360" w:lineRule="auto"/>
      <w:ind w:left="0" w:firstLine="0"/>
      <w:jc w:val="left"/>
      <w:outlineLvl w:val="1"/>
    </w:pPr>
    <w:rPr>
      <w:rFonts w:ascii="思源宋体 CN ExtraLight" w:hAnsi="思源宋体 CN ExtraLight" w:eastAsia="思源宋体 CN ExtraLight"/>
      <w:b/>
      <w:bCs/>
      <w:color w:val="000000" w:themeColor="text1"/>
      <w:sz w:val="30"/>
      <w:szCs w:val="32"/>
      <w14:textFill>
        <w14:solidFill>
          <w14:schemeClr w14:val="tx1"/>
        </w14:solidFill>
      </w14:textFill>
    </w:rPr>
  </w:style>
  <w:style w:type="paragraph" w:styleId="5">
    <w:name w:val="heading 3"/>
    <w:basedOn w:val="1"/>
    <w:next w:val="1"/>
    <w:link w:val="21"/>
    <w:unhideWhenUsed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napToGrid w:val="0"/>
      <w:spacing w:before="120" w:after="120" w:line="360" w:lineRule="auto"/>
      <w:ind w:left="0" w:firstLine="0"/>
      <w:jc w:val="left"/>
      <w:outlineLvl w:val="2"/>
    </w:pPr>
    <w:rPr>
      <w:rFonts w:ascii="思源宋体 CN ExtraLight" w:hAnsi="思源宋体 CN ExtraLight" w:eastAsia="思源宋体 CN ExtraLight"/>
      <w:b/>
      <w:bCs/>
      <w:color w:val="000000" w:themeColor="text1"/>
      <w:sz w:val="28"/>
      <w:szCs w:val="18"/>
      <w14:textFill>
        <w14:solidFill>
          <w14:schemeClr w14:val="tx1"/>
        </w14:solidFill>
      </w14:textFill>
    </w:rPr>
  </w:style>
  <w:style w:type="paragraph" w:styleId="6">
    <w:name w:val="heading 4"/>
    <w:basedOn w:val="1"/>
    <w:next w:val="1"/>
    <w:link w:val="18"/>
    <w:semiHidden/>
    <w:unhideWhenUsed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 w:line="360" w:lineRule="auto"/>
      <w:ind w:left="0" w:firstLine="0"/>
      <w:outlineLvl w:val="3"/>
    </w:pPr>
    <w:rPr>
      <w:rFonts w:ascii="Times New Roman" w:hAnsi="Times New Roman"/>
      <w:b/>
      <w:bCs/>
      <w:sz w:val="24"/>
      <w:szCs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cs="宋体"/>
      <w:color w:val="000000"/>
      <w:szCs w:val="20"/>
    </w:rPr>
  </w:style>
  <w:style w:type="paragraph" w:styleId="9">
    <w:name w:val="toc 3"/>
    <w:basedOn w:val="1"/>
    <w:next w:val="1"/>
    <w:unhideWhenUsed/>
    <w:qFormat/>
    <w:uiPriority w:val="39"/>
    <w:pPr>
      <w:ind w:left="840" w:leftChars="400"/>
    </w:pPr>
    <w:rPr>
      <w:rFonts w:eastAsia="思源宋体 CN ExtraLight"/>
    </w:rPr>
  </w:style>
  <w:style w:type="paragraph" w:styleId="10">
    <w:name w:val="Balloon Text"/>
    <w:basedOn w:val="1"/>
    <w:link w:val="26"/>
    <w:qFormat/>
    <w:uiPriority w:val="0"/>
    <w:rPr>
      <w:sz w:val="18"/>
      <w:szCs w:val="18"/>
    </w:rPr>
  </w:style>
  <w:style w:type="paragraph" w:styleId="11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rPr>
      <w:rFonts w:eastAsia="思源宋体 CN ExtraLight"/>
    </w:r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  <w:rPr>
      <w:rFonts w:eastAsia="思源宋体 CN ExtraLight"/>
    </w:r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4 Char"/>
    <w:basedOn w:val="16"/>
    <w:link w:val="6"/>
    <w:qFormat/>
    <w:uiPriority w:val="0"/>
    <w:rPr>
      <w:rFonts w:ascii="Times New Roman" w:hAnsi="Times New Roman" w:eastAsia="宋体" w:cs="Times New Roman"/>
      <w:b/>
      <w:bCs/>
      <w:kern w:val="2"/>
      <w:sz w:val="24"/>
      <w:szCs w:val="28"/>
    </w:rPr>
  </w:style>
  <w:style w:type="character" w:customStyle="1" w:styleId="19">
    <w:name w:val="标题 2 Char"/>
    <w:link w:val="4"/>
    <w:qFormat/>
    <w:uiPriority w:val="0"/>
    <w:rPr>
      <w:rFonts w:ascii="思源宋体 CN ExtraLight" w:hAnsi="思源宋体 CN ExtraLight" w:eastAsia="思源宋体 CN ExtraLight"/>
      <w:b/>
      <w:bCs/>
      <w:color w:val="000000" w:themeColor="text1"/>
      <w:kern w:val="2"/>
      <w:sz w:val="30"/>
      <w:szCs w:val="32"/>
      <w14:textFill>
        <w14:solidFill>
          <w14:schemeClr w14:val="tx1"/>
        </w14:solidFill>
      </w14:textFill>
    </w:rPr>
  </w:style>
  <w:style w:type="character" w:customStyle="1" w:styleId="20">
    <w:name w:val="标题 1 Char"/>
    <w:basedOn w:val="16"/>
    <w:link w:val="3"/>
    <w:qFormat/>
    <w:uiPriority w:val="0"/>
    <w:rPr>
      <w:rFonts w:ascii="思源宋体 CN ExtraLight" w:hAnsi="思源宋体 CN ExtraLight" w:eastAsia="思源宋体 CN ExtraLight"/>
      <w:b/>
      <w:bCs/>
      <w:color w:val="000000" w:themeColor="text1"/>
      <w:kern w:val="44"/>
      <w:sz w:val="32"/>
      <w:szCs w:val="28"/>
      <w14:textFill>
        <w14:solidFill>
          <w14:schemeClr w14:val="tx1"/>
        </w14:solidFill>
      </w14:textFill>
    </w:rPr>
  </w:style>
  <w:style w:type="character" w:customStyle="1" w:styleId="21">
    <w:name w:val="标题 3 Char"/>
    <w:basedOn w:val="16"/>
    <w:link w:val="5"/>
    <w:qFormat/>
    <w:uiPriority w:val="0"/>
    <w:rPr>
      <w:rFonts w:ascii="思源宋体 CN ExtraLight" w:hAnsi="思源宋体 CN ExtraLight" w:eastAsia="思源宋体 CN ExtraLight"/>
      <w:b/>
      <w:bCs/>
      <w:color w:val="000000" w:themeColor="text1"/>
      <w:kern w:val="2"/>
      <w:sz w:val="28"/>
      <w:szCs w:val="18"/>
      <w14:textFill>
        <w14:solidFill>
          <w14:schemeClr w14:val="tx1"/>
        </w14:solidFill>
      </w14:textFill>
    </w:rPr>
  </w:style>
  <w:style w:type="paragraph" w:styleId="22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3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4">
    <w:name w:val="2"/>
    <w:basedOn w:val="1"/>
    <w:qFormat/>
    <w:uiPriority w:val="0"/>
    <w:pPr>
      <w:autoSpaceDE w:val="0"/>
      <w:autoSpaceDN w:val="0"/>
      <w:adjustRightInd w:val="0"/>
      <w:jc w:val="center"/>
    </w:pPr>
    <w:rPr>
      <w:spacing w:val="4"/>
    </w:rPr>
  </w:style>
  <w:style w:type="paragraph" w:customStyle="1" w:styleId="25">
    <w:name w:val="列出段落2"/>
    <w:basedOn w:val="1"/>
    <w:qFormat/>
    <w:uiPriority w:val="34"/>
  </w:style>
  <w:style w:type="character" w:customStyle="1" w:styleId="26">
    <w:name w:val="批注框文本 Char"/>
    <w:basedOn w:val="16"/>
    <w:link w:val="10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7">
    <w:name w:val="图"/>
    <w:basedOn w:val="1"/>
    <w:qFormat/>
    <w:uiPriority w:val="0"/>
    <w:pPr>
      <w:autoSpaceDE w:val="0"/>
      <w:autoSpaceDN w:val="0"/>
      <w:adjustRightInd/>
      <w:ind w:right="0" w:firstLine="0" w:firstLineChars="0"/>
      <w:jc w:val="center"/>
    </w:pPr>
  </w:style>
  <w:style w:type="paragraph" w:customStyle="1" w:styleId="28">
    <w:name w:val="1"/>
    <w:basedOn w:val="1"/>
    <w:qFormat/>
    <w:uiPriority w:val="0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1D3160-DB51-4CA4-86B3-74B533D8C9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2379</Words>
  <Characters>2521</Characters>
  <Lines>80</Lines>
  <Paragraphs>22</Paragraphs>
  <TotalTime>0</TotalTime>
  <ScaleCrop>false</ScaleCrop>
  <LinksUpToDate>false</LinksUpToDate>
  <CharactersWithSpaces>2576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2020-06-23T00:45:00Z</dcterms:created>
  <dc:creator>shcw3</dc:creator>
  <cp:lastModifiedBy>风行</cp:lastModifiedBy>
  <dcterms:modified xsi:type="dcterms:W3CDTF">2023-09-05T01:06:02Z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2D04FB8CE9C94CE1A97DA4CD433AA118</vt:lpwstr>
  </property>
</Properties>
</file>